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both"/>
        <w:rPr>
          <w:rFonts w:ascii="Arial" w:hAnsi="Arial" w:eastAsia="华文中宋" w:cs="Arial"/>
          <w:b/>
          <w:bCs/>
          <w:sz w:val="52"/>
          <w:szCs w:val="52"/>
        </w:rPr>
      </w:pPr>
    </w:p>
    <w:p>
      <w:pPr>
        <w:jc w:val="center"/>
        <w:rPr>
          <w:rFonts w:hint="eastAsia" w:ascii="华文中宋" w:hAnsi="宋体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36"/>
          <w:szCs w:val="36"/>
          <w:lang w:val="en-US" w:eastAsia="zh-CN"/>
        </w:rPr>
        <w:t>四川轻化工大学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36"/>
          <w:szCs w:val="36"/>
          <w:lang w:val="en-US" w:eastAsia="zh-CN"/>
        </w:rPr>
        <w:t>高校科研管理系统</w:t>
      </w:r>
    </w:p>
    <w:p>
      <w:pPr>
        <w:jc w:val="center"/>
        <w:rPr>
          <w:rFonts w:hint="default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科研管理员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用</w:t>
      </w:r>
    </w:p>
    <w:p>
      <w:pPr>
        <w:jc w:val="center"/>
        <w:rPr>
          <w:rFonts w:hint="default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户</w:t>
      </w:r>
    </w:p>
    <w:p>
      <w:pPr>
        <w:jc w:val="center"/>
        <w:rPr>
          <w:rFonts w:hint="default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手</w:t>
      </w:r>
    </w:p>
    <w:p>
      <w:pPr>
        <w:jc w:val="center"/>
        <w:rPr>
          <w:rFonts w:hint="default" w:ascii="宋体" w:hAnsi="宋体"/>
          <w:sz w:val="24"/>
          <w:lang w:val="en-US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册</w:t>
      </w:r>
    </w:p>
    <w:p>
      <w:pPr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28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华文中宋" w:hAnsi="华文中宋" w:eastAsia="华文中宋"/>
          <w:b/>
          <w:bCs/>
          <w:sz w:val="28"/>
        </w:rPr>
        <w:t>成都川大科鸿新技术研究所</w:t>
      </w:r>
    </w:p>
    <w:sdt>
      <w:sdtPr>
        <w:rPr>
          <w:lang w:val="zh-CN"/>
        </w:rPr>
        <w:id w:val="-76962645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widowControl/>
            <w:spacing w:line="240" w:lineRule="aut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  <w:lang w:val="zh-CN"/>
            </w:rPr>
            <w:t>目录</w:t>
          </w:r>
        </w:p>
        <w:p>
          <w:pPr>
            <w:pStyle w:val="13"/>
            <w:tabs>
              <w:tab w:val="right" w:leader="dot" w:pos="902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_Toc26934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 </w:t>
          </w:r>
          <w:r>
            <w:rPr>
              <w:rFonts w:hint="eastAsia"/>
              <w:lang w:val="en-US" w:eastAsia="zh-CN"/>
            </w:rPr>
            <w:t>文档说明</w:t>
          </w:r>
          <w:r>
            <w:tab/>
          </w:r>
          <w:r>
            <w:fldChar w:fldCharType="begin"/>
          </w:r>
          <w:r>
            <w:instrText xml:space="preserve"> PAGEREF _Toc26934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_Toc492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系统登陆</w:t>
          </w:r>
          <w:r>
            <w:tab/>
          </w:r>
          <w:r>
            <w:fldChar w:fldCharType="begin"/>
          </w:r>
          <w:r>
            <w:instrText xml:space="preserve"> PAGEREF _Toc492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_Toc17562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3. </w:t>
          </w:r>
          <w:r>
            <w:rPr>
              <w:rFonts w:hint="eastAsia"/>
              <w:lang w:val="en-US" w:eastAsia="zh-CN"/>
            </w:rPr>
            <w:t>申报计划发布</w:t>
          </w:r>
          <w:r>
            <w:tab/>
          </w:r>
          <w:r>
            <w:fldChar w:fldCharType="begin"/>
          </w:r>
          <w:r>
            <w:instrText xml:space="preserve"> PAGEREF _Toc17562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_Toc12367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4. </w:t>
          </w:r>
          <w:r>
            <w:rPr>
              <w:rFonts w:hint="eastAsia"/>
              <w:lang w:val="en-US" w:eastAsia="zh-CN"/>
            </w:rPr>
            <w:t>中检发布操作</w:t>
          </w:r>
          <w:r>
            <w:tab/>
          </w:r>
          <w:r>
            <w:fldChar w:fldCharType="begin"/>
          </w:r>
          <w:r>
            <w:instrText xml:space="preserve"> PAGEREF _Toc12367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_Toc869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5. </w:t>
          </w:r>
          <w:r>
            <w:rPr>
              <w:rFonts w:hint="eastAsia"/>
              <w:lang w:val="en-US" w:eastAsia="zh-CN"/>
            </w:rPr>
            <w:t>事务审核</w:t>
          </w:r>
          <w:r>
            <w:tab/>
          </w:r>
          <w:r>
            <w:fldChar w:fldCharType="begin"/>
          </w:r>
          <w:r>
            <w:instrText xml:space="preserve"> PAGEREF _Toc869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_Toc29487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6. </w:t>
          </w:r>
          <w:r>
            <w:rPr>
              <w:rFonts w:hint="eastAsia"/>
              <w:lang w:val="en-US" w:eastAsia="zh-CN"/>
            </w:rPr>
            <w:t>新闻、通知公告发布操作</w:t>
          </w:r>
          <w:r>
            <w:tab/>
          </w:r>
          <w:r>
            <w:fldChar w:fldCharType="begin"/>
          </w:r>
          <w:r>
            <w:instrText xml:space="preserve"> PAGEREF _Toc29487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_Toc9633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7. </w:t>
          </w:r>
          <w:r>
            <w:rPr>
              <w:rFonts w:hint="eastAsia"/>
              <w:lang w:val="en-US" w:eastAsia="zh-CN"/>
            </w:rPr>
            <w:t>科研队伍信息管理操作</w:t>
          </w:r>
          <w:r>
            <w:tab/>
          </w:r>
          <w:r>
            <w:fldChar w:fldCharType="begin"/>
          </w:r>
          <w:r>
            <w:instrText xml:space="preserve"> PAGEREF _Toc9633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_Toc4618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8. </w:t>
          </w:r>
          <w:r>
            <w:rPr>
              <w:rFonts w:hint="eastAsia"/>
              <w:lang w:val="en-US" w:eastAsia="zh-CN"/>
            </w:rPr>
            <w:t>科研合作管</w:t>
          </w:r>
          <w:bookmarkStart w:id="16" w:name="_GoBack"/>
          <w:bookmarkEnd w:id="16"/>
          <w:r>
            <w:rPr>
              <w:rFonts w:hint="eastAsia"/>
              <w:lang w:val="en-US" w:eastAsia="zh-CN"/>
            </w:rPr>
            <w:t>理操作</w:t>
          </w:r>
          <w:r>
            <w:tab/>
          </w:r>
          <w:r>
            <w:fldChar w:fldCharType="begin"/>
          </w:r>
          <w:r>
            <w:instrText xml:space="preserve"> PAGEREF _Toc4618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_Toc26116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9. </w:t>
          </w:r>
          <w:r>
            <w:rPr>
              <w:rFonts w:hint="eastAsia"/>
              <w:lang w:val="en-US" w:eastAsia="zh-CN"/>
            </w:rPr>
            <w:t>统计查询操作</w:t>
          </w:r>
          <w:r>
            <w:tab/>
          </w:r>
          <w:r>
            <w:fldChar w:fldCharType="begin"/>
          </w:r>
          <w:r>
            <w:instrText xml:space="preserve"> PAGEREF _Toc26116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_Toc28968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  <w:lang w:val="en-US" w:eastAsia="zh-CN"/>
            </w:rPr>
            <w:t xml:space="preserve">10. </w:t>
          </w:r>
          <w:r>
            <w:rPr>
              <w:rFonts w:hint="eastAsia"/>
              <w:lang w:val="en-US" w:eastAsia="zh-CN"/>
            </w:rPr>
            <w:t>科研考核设置</w:t>
          </w:r>
          <w:r>
            <w:tab/>
          </w:r>
          <w:r>
            <w:fldChar w:fldCharType="begin"/>
          </w:r>
          <w:r>
            <w:instrText xml:space="preserve"> PAGEREF _Toc28968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  <w:sectPr>
          <w:headerReference r:id="rId10" w:type="first"/>
          <w:footerReference r:id="rId12" w:type="first"/>
          <w:headerReference r:id="rId8" w:type="default"/>
          <w:footerReference r:id="rId11" w:type="default"/>
          <w:headerReference r:id="rId9" w:type="even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0" w:name="_Toc26934"/>
      <w:r>
        <w:rPr>
          <w:rFonts w:hint="eastAsia"/>
          <w:lang w:val="en-US" w:eastAsia="zh-CN"/>
        </w:rPr>
        <w:t>文档说明</w:t>
      </w:r>
      <w:bookmarkEnd w:id="0"/>
    </w:p>
    <w:p>
      <w:pPr>
        <w:spacing w:line="360" w:lineRule="auto"/>
        <w:ind w:firstLine="56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本用户手册主要为科研管理员提供科研管理系统的操作使用指南，在使用本系统前，请认真阅读本手册。</w:t>
      </w:r>
    </w:p>
    <w:p>
      <w:pPr>
        <w:spacing w:line="360" w:lineRule="auto"/>
        <w:ind w:firstLine="56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使用本系统，推荐使用“谷歌”浏览器。</w:t>
      </w:r>
    </w:p>
    <w:p>
      <w:pPr>
        <w:pStyle w:val="6"/>
        <w:numPr>
          <w:ilvl w:val="0"/>
          <w:numId w:val="4"/>
        </w:numPr>
      </w:pPr>
      <w:bookmarkStart w:id="1" w:name="_Toc492"/>
      <w:r>
        <w:rPr>
          <w:rFonts w:hint="eastAsia"/>
        </w:rPr>
        <w:t>系统登陆</w:t>
      </w:r>
      <w:bookmarkEnd w:id="1"/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访问网址：https://kygl.suse.edu.cn/</w:t>
      </w:r>
    </w:p>
    <w:p>
      <w:pPr>
        <w:pStyle w:val="2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输入</w:t>
      </w:r>
      <w:r>
        <w:rPr>
          <w:rFonts w:hint="eastAsia"/>
          <w:sz w:val="24"/>
          <w:szCs w:val="24"/>
          <w:lang w:val="en-US" w:eastAsia="zh-CN"/>
        </w:rPr>
        <w:t>本人账号、密码，</w:t>
      </w:r>
      <w:r>
        <w:rPr>
          <w:rFonts w:hint="eastAsia" w:hAnsi="宋体"/>
          <w:sz w:val="24"/>
          <w:szCs w:val="24"/>
          <w:lang w:val="en-US" w:eastAsia="zh-CN"/>
        </w:rPr>
        <w:t>登陆“科研管理系统”。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注，初始密码为pwd@123654</w:t>
      </w: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2" w:name="_Toc17562"/>
      <w:r>
        <w:rPr>
          <w:rFonts w:hint="eastAsia"/>
          <w:lang w:val="en-US" w:eastAsia="zh-CN"/>
        </w:rPr>
        <w:t>申报计划发布</w:t>
      </w:r>
      <w:bookmarkEnd w:id="2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主要是对纵向项目申报计划的发布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第一步、左侧菜单点击纵向项目，点击申报计划。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第二步、点击新增计划，编辑申报计划及相关信息，完成保存。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第三步、发布申报计划，各科研人员将同步收到项目申报计划。</w:t>
      </w:r>
    </w:p>
    <w:p>
      <w:pPr>
        <w:widowControl/>
        <w:spacing w:line="240" w:lineRule="auto"/>
        <w:jc w:val="left"/>
      </w:pPr>
    </w:p>
    <w:p>
      <w:pPr>
        <w:jc w:val="center"/>
      </w:pPr>
      <w:r>
        <w:drawing>
          <wp:inline distT="0" distB="0" distL="114300" distR="114300">
            <wp:extent cx="4679950" cy="2673985"/>
            <wp:effectExtent l="0" t="0" r="6350" b="25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图-科研计划发布</w:t>
      </w: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3" w:name="_Toc7992"/>
      <w:bookmarkStart w:id="4" w:name="_Toc12367"/>
      <w:r>
        <w:rPr>
          <w:rFonts w:hint="eastAsia"/>
          <w:lang w:val="en-US" w:eastAsia="zh-CN"/>
        </w:rPr>
        <w:t>中检发布操作</w:t>
      </w:r>
      <w:bookmarkEnd w:id="3"/>
      <w:bookmarkEnd w:id="4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主要是对科研项目项目进行中检，每种类型的项目均有可制定对应的中检。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第一步、左侧菜单点击选择项目，点击批次管理。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第二步、点击新增批次，编辑批次信息并添加中检的项目，完成保存。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第三步、发布批次管理，完成中检制定。</w:t>
      </w:r>
    </w:p>
    <w:p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drawing>
          <wp:inline distT="0" distB="0" distL="114300" distR="114300">
            <wp:extent cx="4679950" cy="2672715"/>
            <wp:effectExtent l="0" t="0" r="6350" b="381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图-中检制定</w:t>
      </w: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5" w:name="_Toc13998"/>
      <w:bookmarkStart w:id="6" w:name="_Toc869"/>
      <w:r>
        <w:rPr>
          <w:rFonts w:hint="eastAsia"/>
          <w:lang w:val="en-US" w:eastAsia="zh-CN"/>
        </w:rPr>
        <w:t>事务审核</w:t>
      </w:r>
      <w:bookmarkEnd w:id="5"/>
      <w:bookmarkEnd w:id="6"/>
    </w:p>
    <w:p>
      <w:pPr>
        <w:ind w:firstLine="56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主要是管理待审核事务，包括科研项目申报、立项、变更、结题等项目事务审核，科研成果核实审核、经费报销审核等审核事务。</w:t>
      </w:r>
    </w:p>
    <w:p>
      <w:pPr>
        <w:ind w:firstLine="56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待办事项，查询所有要审核事务，点击处理，进行审核。</w:t>
      </w:r>
    </w:p>
    <w:p>
      <w:pPr>
        <w:jc w:val="center"/>
      </w:pPr>
      <w:r>
        <w:drawing>
          <wp:inline distT="0" distB="0" distL="114300" distR="114300">
            <wp:extent cx="4679950" cy="2671445"/>
            <wp:effectExtent l="0" t="0" r="6350" b="5080"/>
            <wp:docPr id="6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图-科研事务审核</w:t>
      </w: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7" w:name="_Toc19937"/>
      <w:bookmarkStart w:id="8" w:name="_Toc29487"/>
      <w:r>
        <w:rPr>
          <w:rFonts w:hint="eastAsia"/>
          <w:lang w:val="en-US" w:eastAsia="zh-CN"/>
        </w:rPr>
        <w:t>新闻、通知公告发布操作</w:t>
      </w:r>
      <w:bookmarkEnd w:id="7"/>
      <w:bookmarkEnd w:id="8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主要管理发布通知、新闻等公告，发布后科研人员可以实时查看通知公告。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第一步、点击科研办公，选择通知公告管理或新闻发布。</w:t>
      </w:r>
    </w:p>
    <w:p>
      <w:pPr>
        <w:jc w:val="center"/>
      </w:pPr>
      <w:r>
        <w:drawing>
          <wp:inline distT="0" distB="0" distL="114300" distR="114300">
            <wp:extent cx="4679950" cy="2670810"/>
            <wp:effectExtent l="0" t="0" r="635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图-通知公告管理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第二步、新增公告，进入公告编辑页面，编辑要发布的科研公告，编辑完成保存。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第三步、在公告管理列表，选择已编辑的公告，操作点击“发布”，完成公告发布。</w:t>
      </w:r>
    </w:p>
    <w:p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9" w:name="_Toc17293"/>
      <w:bookmarkStart w:id="10" w:name="_Toc9633"/>
      <w:r>
        <w:rPr>
          <w:rFonts w:hint="eastAsia"/>
          <w:lang w:val="en-US" w:eastAsia="zh-CN"/>
        </w:rPr>
        <w:t>科研队伍信息管理操作</w:t>
      </w:r>
      <w:bookmarkEnd w:id="9"/>
      <w:bookmarkEnd w:id="10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主要对科研队伍，包含科研的行政部门、院系、人员、专家、科研创新平台、科研创新团队等进行信息管理和操作管理。</w:t>
      </w:r>
    </w:p>
    <w:p>
      <w:pPr>
        <w:jc w:val="center"/>
      </w:pPr>
      <w:r>
        <w:drawing>
          <wp:inline distT="0" distB="0" distL="114300" distR="114300">
            <wp:extent cx="4679950" cy="2678430"/>
            <wp:effectExtent l="0" t="0" r="635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图-行政部门管理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第一步、点击左侧科研队伍菜单，选择类型。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第二步、修改信息，进行编辑信息，编辑完成保存，注：本系统人员（系统登陆账号）由统一认证中心同步，无需进行新增。</w:t>
      </w: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11" w:name="_Toc19248"/>
      <w:bookmarkStart w:id="12" w:name="_Toc4618"/>
      <w:r>
        <w:rPr>
          <w:rFonts w:hint="eastAsia"/>
          <w:lang w:val="en-US" w:eastAsia="zh-CN"/>
        </w:rPr>
        <w:t>科研合作管理操作</w:t>
      </w:r>
      <w:bookmarkEnd w:id="11"/>
      <w:bookmarkEnd w:id="12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合作管理包含了合作机构的信息管理和人员调遣管理。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合作管理主要是对对外合作单位的基础信息、资质等进行管理。</w:t>
      </w:r>
    </w:p>
    <w:p>
      <w:pPr>
        <w:jc w:val="center"/>
      </w:pPr>
      <w:r>
        <w:drawing>
          <wp:inline distT="0" distB="0" distL="114300" distR="114300">
            <wp:extent cx="4679950" cy="2669540"/>
            <wp:effectExtent l="0" t="0" r="635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图-合作单位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人员调遣管理，主要是对本校科研人员外派科研合作、接受合作科研人员进行登记管理。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第一步、左侧菜单点击合作管理，点击人员调遣。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第二步、点击新增调遣按钮，编辑人员调遣单。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第三步、选择调遣类型，编辑人员基础信息提交保存，完成人员调遣记录信息。</w:t>
      </w:r>
    </w:p>
    <w:p>
      <w:pPr>
        <w:tabs>
          <w:tab w:val="center" w:pos="4573"/>
          <w:tab w:val="right" w:pos="9026"/>
        </w:tabs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>
        <w:drawing>
          <wp:inline distT="0" distB="0" distL="114300" distR="114300">
            <wp:extent cx="4679950" cy="2662555"/>
            <wp:effectExtent l="0" t="0" r="6350" b="444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ab/>
      </w:r>
    </w:p>
    <w:p>
      <w:pPr>
        <w:jc w:val="center"/>
        <w:rPr>
          <w:rFonts w:hint="default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图-人员调遣单</w:t>
      </w:r>
    </w:p>
    <w:p>
      <w:pPr>
        <w:tabs>
          <w:tab w:val="center" w:pos="4573"/>
          <w:tab w:val="right" w:pos="9026"/>
        </w:tabs>
        <w:jc w:val="left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13" w:name="_Toc27401"/>
      <w:bookmarkStart w:id="14" w:name="_Toc26116"/>
      <w:r>
        <w:rPr>
          <w:rFonts w:hint="eastAsia"/>
          <w:lang w:val="en-US" w:eastAsia="zh-CN"/>
        </w:rPr>
        <w:t>统计查询操作</w:t>
      </w:r>
      <w:bookmarkEnd w:id="13"/>
      <w:bookmarkEnd w:id="14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左侧菜单点击统计报表，可以查看不同类型的统计数据，同时支持查询、导出等功能。</w:t>
      </w:r>
    </w:p>
    <w:p>
      <w:pPr>
        <w:jc w:val="center"/>
      </w:pPr>
      <w:r>
        <w:drawing>
          <wp:inline distT="0" distB="0" distL="114300" distR="114300">
            <wp:extent cx="4679950" cy="2673350"/>
            <wp:effectExtent l="0" t="0" r="6350" b="317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图-查询统计</w:t>
      </w: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15" w:name="_Toc28968"/>
      <w:r>
        <w:rPr>
          <w:rFonts w:hint="eastAsia"/>
          <w:lang w:val="en-US" w:eastAsia="zh-CN"/>
        </w:rPr>
        <w:t>科研考核设置</w:t>
      </w:r>
      <w:bookmarkEnd w:id="15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步、设置考核标准。可分别设置岗位量化（岗位科研工作量基准）、排名系数（多个参与人科研贡献比例）、考核配置（项目、成果等计分标准），同时，可设置扩展计分（额外附加计分）和计分规则项（计分限制条件等）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4679950" cy="2677795"/>
            <wp:effectExtent l="0" t="0" r="6350" b="8255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图-考核配置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第二步、设置考核方案，创建考核批次。可设置该批次的考核目标、考核范围、考核人员等</w:t>
      </w:r>
    </w:p>
    <w:p>
      <w:pPr>
        <w:ind w:firstLine="420" w:firstLineChars="200"/>
        <w:jc w:val="center"/>
      </w:pPr>
      <w:r>
        <w:drawing>
          <wp:inline distT="0" distB="0" distL="114300" distR="114300">
            <wp:extent cx="4679950" cy="2506345"/>
            <wp:effectExtent l="0" t="0" r="6350" b="825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图-考核批次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第三步、发布考核并生成考核结果。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第四步、统计、查看考核结果。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5882400"/>
    </w:sdtPr>
    <w:sdtContent>
      <w:p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rFonts w:hint="eastAsia"/>
        <w:b/>
        <w:bCs/>
        <w:color w:val="000000"/>
        <w:sz w:val="48"/>
      </w:rPr>
      <w:drawing>
        <wp:inline distT="0" distB="0" distL="0" distR="0">
          <wp:extent cx="444500" cy="336550"/>
          <wp:effectExtent l="0" t="0" r="0" b="6350"/>
          <wp:docPr id="33" name="图片 33" descr="keho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kehon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PowerPlusWaterMarkObject7075457" o:spid="_x0000_s4098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川大科鸿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PowerPlusWaterMarkObject7075456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川大科鸿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BDE94"/>
    <w:multiLevelType w:val="singleLevel"/>
    <w:tmpl w:val="8FCBDE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179722"/>
    <w:multiLevelType w:val="multilevel"/>
    <w:tmpl w:val="BF17972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C3FF7CD3"/>
    <w:multiLevelType w:val="multilevel"/>
    <w:tmpl w:val="C3FF7CD3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D680797E"/>
    <w:multiLevelType w:val="singleLevel"/>
    <w:tmpl w:val="D680797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7C098B20"/>
    <w:multiLevelType w:val="multilevel"/>
    <w:tmpl w:val="7C098B20"/>
    <w:lvl w:ilvl="0" w:tentative="0">
      <w:start w:val="1"/>
      <w:numFmt w:val="decimal"/>
      <w:pStyle w:val="2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MTU0NTVhNDdjZDVlZjc3NDkyMjdjOTkyNGU4NGQifQ=="/>
  </w:docVars>
  <w:rsids>
    <w:rsidRoot w:val="3E6C08FA"/>
    <w:rsid w:val="036C10E6"/>
    <w:rsid w:val="05601C0A"/>
    <w:rsid w:val="0CFF405E"/>
    <w:rsid w:val="0FD861D8"/>
    <w:rsid w:val="119748C3"/>
    <w:rsid w:val="16E142FE"/>
    <w:rsid w:val="1C1412BD"/>
    <w:rsid w:val="23D305B4"/>
    <w:rsid w:val="35567AF5"/>
    <w:rsid w:val="373B0D8F"/>
    <w:rsid w:val="3B44018A"/>
    <w:rsid w:val="3E6C08FA"/>
    <w:rsid w:val="3E825574"/>
    <w:rsid w:val="4EC72D51"/>
    <w:rsid w:val="50041972"/>
    <w:rsid w:val="560162C6"/>
    <w:rsid w:val="57FA67A5"/>
    <w:rsid w:val="60E853F5"/>
    <w:rsid w:val="62F64975"/>
    <w:rsid w:val="66EC2680"/>
    <w:rsid w:val="6795579F"/>
    <w:rsid w:val="6E793A75"/>
    <w:rsid w:val="6EE15999"/>
    <w:rsid w:val="74D36AAB"/>
    <w:rsid w:val="77ED4C54"/>
    <w:rsid w:val="7F0423B8"/>
    <w:rsid w:val="7F5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60"/>
      <w:ind w:left="432" w:hanging="432"/>
      <w:outlineLvl w:val="0"/>
    </w:pPr>
    <w:rPr>
      <w:rFonts w:eastAsia="黑体" w:cs="Times New Roman" w:asciiTheme="majorAscii" w:hAnsiTheme="majorAscii"/>
      <w:b/>
      <w:bCs/>
      <w:kern w:val="32"/>
      <w:sz w:val="30"/>
      <w:szCs w:val="32"/>
    </w:rPr>
  </w:style>
  <w:style w:type="paragraph" w:styleId="4">
    <w:name w:val="heading 2"/>
    <w:basedOn w:val="5"/>
    <w:next w:val="1"/>
    <w:link w:val="24"/>
    <w:semiHidden/>
    <w:unhideWhenUsed/>
    <w:qFormat/>
    <w:uiPriority w:val="0"/>
    <w:pPr>
      <w:keepNext/>
      <w:numPr>
        <w:ilvl w:val="1"/>
        <w:numId w:val="2"/>
      </w:numPr>
      <w:spacing w:before="240" w:after="60"/>
      <w:ind w:left="575" w:hanging="575"/>
      <w:outlineLvl w:val="1"/>
    </w:pPr>
    <w:rPr>
      <w:rFonts w:eastAsia="黑体" w:cs="Times New Roman" w:asciiTheme="majorAscii" w:hAnsiTheme="majorAscii"/>
      <w:b/>
      <w:bCs/>
      <w:iCs/>
      <w:sz w:val="28"/>
      <w:szCs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toc 3"/>
    <w:basedOn w:val="1"/>
    <w:next w:val="1"/>
    <w:qFormat/>
    <w:uiPriority w:val="0"/>
    <w:pPr>
      <w:widowControl w:val="0"/>
      <w:ind w:left="840" w:leftChars="400"/>
      <w:jc w:val="both"/>
    </w:pPr>
    <w:rPr>
      <w:rFonts w:eastAsia="宋体" w:asciiTheme="minorAscii" w:hAnsiTheme="minorAscii" w:cstheme="minorBidi"/>
      <w:kern w:val="2"/>
      <w:sz w:val="24"/>
      <w:szCs w:val="22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widowControl w:val="0"/>
      <w:jc w:val="both"/>
    </w:pPr>
    <w:rPr>
      <w:rFonts w:eastAsia="黑体" w:asciiTheme="minorAscii" w:hAnsiTheme="minorAscii" w:cstheme="minorBidi"/>
      <w:kern w:val="2"/>
      <w:sz w:val="24"/>
      <w:szCs w:val="22"/>
    </w:rPr>
  </w:style>
  <w:style w:type="paragraph" w:styleId="17">
    <w:name w:val="List"/>
    <w:basedOn w:val="1"/>
    <w:unhideWhenUsed/>
    <w:qFormat/>
    <w:uiPriority w:val="99"/>
    <w:pPr>
      <w:spacing w:line="240" w:lineRule="auto"/>
      <w:ind w:left="200" w:hanging="200" w:hangingChars="200"/>
      <w:contextualSpacing/>
    </w:pPr>
    <w:rPr>
      <w:rFonts w:ascii="Calibri" w:hAnsi="Calibri" w:eastAsia="宋体" w:cs="Times New Roman"/>
      <w:szCs w:val="22"/>
    </w:rPr>
  </w:style>
  <w:style w:type="paragraph" w:styleId="18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eastAsia="宋体" w:asciiTheme="minorAscii" w:hAnsiTheme="minorAscii" w:cstheme="minorBidi"/>
      <w:kern w:val="2"/>
      <w:sz w:val="24"/>
      <w:szCs w:val="22"/>
    </w:r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Char"/>
    <w:basedOn w:val="20"/>
    <w:link w:val="3"/>
    <w:qFormat/>
    <w:uiPriority w:val="9"/>
    <w:rPr>
      <w:rFonts w:eastAsia="黑体" w:cs="Times New Roman" w:asciiTheme="majorAscii" w:hAnsiTheme="majorAscii"/>
      <w:b/>
      <w:bCs/>
      <w:kern w:val="32"/>
      <w:sz w:val="30"/>
      <w:szCs w:val="32"/>
    </w:rPr>
  </w:style>
  <w:style w:type="paragraph" w:customStyle="1" w:styleId="23">
    <w:name w:val="样式1"/>
    <w:basedOn w:val="1"/>
    <w:next w:val="1"/>
    <w:qFormat/>
    <w:uiPriority w:val="0"/>
    <w:pPr>
      <w:keepNext/>
      <w:numPr>
        <w:ilvl w:val="0"/>
        <w:numId w:val="3"/>
      </w:numPr>
      <w:tabs>
        <w:tab w:val="left" w:pos="0"/>
      </w:tabs>
      <w:spacing w:before="240" w:after="60"/>
      <w:ind w:left="432" w:hanging="432"/>
      <w:outlineLvl w:val="0"/>
    </w:pPr>
    <w:rPr>
      <w:rFonts w:hint="eastAsia" w:ascii="微软雅黑" w:hAnsi="微软雅黑" w:eastAsia="黑体" w:cs="微软雅黑"/>
      <w:b/>
      <w:bCs/>
      <w:kern w:val="32"/>
      <w:sz w:val="30"/>
      <w:szCs w:val="30"/>
    </w:rPr>
  </w:style>
  <w:style w:type="character" w:customStyle="1" w:styleId="24">
    <w:name w:val="标题 2 Char"/>
    <w:basedOn w:val="20"/>
    <w:link w:val="4"/>
    <w:qFormat/>
    <w:uiPriority w:val="9"/>
    <w:rPr>
      <w:rFonts w:eastAsia="黑体" w:cs="Times New Roman" w:asciiTheme="majorAscii" w:hAnsiTheme="majorAscii"/>
      <w:b/>
      <w:bCs/>
      <w:iCs/>
      <w:sz w:val="28"/>
      <w:szCs w:val="28"/>
    </w:rPr>
  </w:style>
  <w:style w:type="paragraph" w:customStyle="1" w:styleId="25">
    <w:name w:val="样式2"/>
    <w:basedOn w:val="1"/>
    <w:next w:val="1"/>
    <w:qFormat/>
    <w:uiPriority w:val="0"/>
    <w:pPr>
      <w:keepNext/>
      <w:numPr>
        <w:ilvl w:val="1"/>
        <w:numId w:val="1"/>
      </w:numPr>
      <w:spacing w:before="240" w:beforeLines="0" w:after="60"/>
      <w:ind w:left="575" w:hanging="575"/>
      <w:outlineLvl w:val="1"/>
    </w:pPr>
    <w:rPr>
      <w:rFonts w:hint="eastAsia" w:ascii="微软雅黑" w:hAnsi="微软雅黑" w:eastAsia="黑体" w:cs="微软雅黑"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1.png"/><Relationship Id="rId22" Type="http://schemas.openxmlformats.org/officeDocument/2006/relationships/image" Target="media/image10.png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png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1367</Words>
  <Characters>1413</Characters>
  <Lines>0</Lines>
  <Paragraphs>0</Paragraphs>
  <TotalTime>0</TotalTime>
  <ScaleCrop>false</ScaleCrop>
  <LinksUpToDate>false</LinksUpToDate>
  <CharactersWithSpaces>1459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2023-02-13T07:43:00Z</dcterms:created>
  <dc:creator>吕贵</dc:creator>
  <cp:lastModifiedBy>Administrator</cp:lastModifiedBy>
  <dcterms:modified xsi:type="dcterms:W3CDTF">2023-06-08T07:26:47Z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B62AF0692C454EFCA2FA56EA230ABC91</vt:lpwstr>
  </property>
</Properties>
</file>